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A8" w:rsidRPr="00D403A8" w:rsidRDefault="00D403A8" w:rsidP="00D403A8">
      <w:pPr>
        <w:shd w:val="clear" w:color="auto" w:fill="FFFFFF"/>
        <w:spacing w:after="133" w:line="240" w:lineRule="auto"/>
        <w:jc w:val="center"/>
        <w:rPr>
          <w:rFonts w:ascii="Roboto" w:eastAsia="Times New Roman" w:hAnsi="Roboto" w:cs="Arial"/>
          <w:b/>
          <w:bCs/>
          <w:color w:val="397B3A"/>
          <w:sz w:val="28"/>
          <w:szCs w:val="28"/>
          <w:lang w:eastAsia="ru-RU"/>
        </w:rPr>
      </w:pPr>
      <w:r w:rsidRPr="00D403A8">
        <w:rPr>
          <w:rFonts w:ascii="Roboto" w:eastAsia="Times New Roman" w:hAnsi="Roboto" w:cs="Arial"/>
          <w:b/>
          <w:bCs/>
          <w:color w:val="397B3A"/>
          <w:sz w:val="28"/>
          <w:szCs w:val="28"/>
          <w:lang w:eastAsia="ru-RU"/>
        </w:rPr>
        <w:t>Сведения о существенных фактах</w:t>
      </w:r>
    </w:p>
    <w:p w:rsidR="00D403A8" w:rsidRPr="00D403A8" w:rsidRDefault="00D403A8" w:rsidP="00D403A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232323"/>
          <w:sz w:val="24"/>
          <w:szCs w:val="24"/>
          <w:lang w:eastAsia="ru-RU"/>
        </w:rPr>
      </w:pPr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В данном разделе будут размещаться сведения о существенных фактах ООО МФК «Саммит».</w:t>
      </w:r>
    </w:p>
    <w:p w:rsidR="00D403A8" w:rsidRPr="00D403A8" w:rsidRDefault="00D403A8" w:rsidP="00D403A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232323"/>
          <w:sz w:val="24"/>
          <w:szCs w:val="24"/>
          <w:lang w:eastAsia="ru-RU"/>
        </w:rPr>
      </w:pPr>
      <w:r w:rsidRPr="00D403A8">
        <w:rPr>
          <w:rFonts w:ascii="Roboto" w:eastAsia="Times New Roman" w:hAnsi="Roboto" w:cs="Arial"/>
          <w:b/>
          <w:bCs/>
          <w:color w:val="232323"/>
          <w:sz w:val="24"/>
          <w:szCs w:val="24"/>
          <w:lang w:eastAsia="ru-RU"/>
        </w:rPr>
        <w:t> Существенными фактами</w:t>
      </w:r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 признаются сведения, которые в случае их раскрытия могут оказать существенное влияние на решения физических лиц о предоставлении денежных средств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микрофинансовой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 организации, в том числе:</w:t>
      </w:r>
    </w:p>
    <w:p w:rsidR="00D403A8" w:rsidRPr="00D403A8" w:rsidRDefault="00D403A8" w:rsidP="00D40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232323"/>
          <w:sz w:val="24"/>
          <w:szCs w:val="24"/>
          <w:lang w:eastAsia="ru-RU"/>
        </w:rPr>
      </w:pPr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о принятых </w:t>
      </w:r>
      <w:proofErr w:type="gram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решениях</w:t>
      </w:r>
      <w:proofErr w:type="gram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 о размещении ценных бумаг;</w:t>
      </w:r>
    </w:p>
    <w:p w:rsidR="00D403A8" w:rsidRPr="00D403A8" w:rsidRDefault="00D403A8" w:rsidP="00D40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232323"/>
          <w:sz w:val="24"/>
          <w:szCs w:val="24"/>
          <w:lang w:eastAsia="ru-RU"/>
        </w:rPr>
      </w:pPr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об одобрении сделок, признаваемых в соответствии с законодательством Российской Федерации крупными сделками и (или) сделками, в отношении которых имеется заинтересованность;</w:t>
      </w:r>
    </w:p>
    <w:p w:rsidR="00D403A8" w:rsidRPr="00D403A8" w:rsidRDefault="00D403A8" w:rsidP="00D40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232323"/>
          <w:sz w:val="24"/>
          <w:szCs w:val="24"/>
          <w:lang w:eastAsia="ru-RU"/>
        </w:rPr>
      </w:pPr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о принятии решения о реорганизации или ликвидации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микрофинансовой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 организации;</w:t>
      </w:r>
    </w:p>
    <w:p w:rsidR="00D403A8" w:rsidRPr="00D403A8" w:rsidRDefault="00D403A8" w:rsidP="00D40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232323"/>
          <w:sz w:val="24"/>
          <w:szCs w:val="24"/>
          <w:lang w:eastAsia="ru-RU"/>
        </w:rPr>
      </w:pPr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о принятии арбитражным судом заявления о признании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микрофинансовой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 организации банкротом, а также о принятии арбитражным судом решения о признании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микрофинансовой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 организации банкротом;</w:t>
      </w:r>
    </w:p>
    <w:p w:rsidR="00D403A8" w:rsidRPr="00D403A8" w:rsidRDefault="00D403A8" w:rsidP="00D40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232323"/>
          <w:sz w:val="24"/>
          <w:szCs w:val="24"/>
          <w:lang w:eastAsia="ru-RU"/>
        </w:rPr>
      </w:pPr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о предъявлении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микрофинансовой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 организации иска, размер требований по которому составляет 10 и более процентов балансовой стоимости активов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микрофинансовой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 организации;</w:t>
      </w:r>
    </w:p>
    <w:p w:rsidR="00D403A8" w:rsidRPr="00D403A8" w:rsidRDefault="00D403A8" w:rsidP="00D40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232323"/>
          <w:sz w:val="24"/>
          <w:szCs w:val="24"/>
          <w:lang w:eastAsia="ru-RU"/>
        </w:rPr>
      </w:pPr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о выявлении существенных ошибок в ранее размещенной в специализированном разделе официального сайта информации.</w:t>
      </w:r>
    </w:p>
    <w:p w:rsidR="00D403A8" w:rsidRPr="00D403A8" w:rsidRDefault="00D403A8" w:rsidP="00D403A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232323"/>
          <w:sz w:val="24"/>
          <w:szCs w:val="24"/>
          <w:lang w:eastAsia="ru-RU"/>
        </w:rPr>
      </w:pPr>
      <w:r w:rsidRPr="00D403A8">
        <w:rPr>
          <w:rFonts w:ascii="Roboto" w:eastAsia="Times New Roman" w:hAnsi="Roboto" w:cs="Arial"/>
          <w:b/>
          <w:bCs/>
          <w:color w:val="232323"/>
          <w:sz w:val="24"/>
          <w:szCs w:val="24"/>
          <w:lang w:eastAsia="ru-RU"/>
        </w:rPr>
        <w:t> </w:t>
      </w:r>
      <w:proofErr w:type="gramStart"/>
      <w:r w:rsidRPr="00D403A8">
        <w:rPr>
          <w:rFonts w:ascii="Roboto" w:eastAsia="Times New Roman" w:hAnsi="Roboto" w:cs="Arial"/>
          <w:b/>
          <w:bCs/>
          <w:color w:val="232323"/>
          <w:sz w:val="24"/>
          <w:szCs w:val="24"/>
          <w:lang w:eastAsia="ru-RU"/>
        </w:rPr>
        <w:t>Крупной сделкой</w:t>
      </w:r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 признается сделка (несколько взаимосвязанных сделок), выходящая за пределы обычной хозяйственной деятельности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микрофинансовой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 организации, связанная с приобретением, отчуждением или возможностью отчуждения прямо или косвенно имущества, цена или балансовая стоимость которого составляет 25 и более процентов балансовой стоимости активов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микрофинансовой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 организации, определенной по данным ее бухгалтерской (финансовой) отчетности на последнюю отчетную дату.</w:t>
      </w:r>
      <w:proofErr w:type="gramEnd"/>
    </w:p>
    <w:p w:rsidR="00D403A8" w:rsidRPr="00D403A8" w:rsidRDefault="00D403A8" w:rsidP="00D403A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232323"/>
          <w:sz w:val="24"/>
          <w:szCs w:val="24"/>
          <w:lang w:eastAsia="ru-RU"/>
        </w:rPr>
      </w:pPr>
      <w:r w:rsidRPr="00D403A8">
        <w:rPr>
          <w:rFonts w:ascii="Roboto" w:eastAsia="Times New Roman" w:hAnsi="Roboto" w:cs="Arial"/>
          <w:b/>
          <w:bCs/>
          <w:color w:val="232323"/>
          <w:sz w:val="24"/>
          <w:szCs w:val="24"/>
          <w:lang w:eastAsia="ru-RU"/>
        </w:rPr>
        <w:t> Сделкой, в совершении которой имеется заинтересованность</w:t>
      </w:r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, признается сделка, в совершении которой имеется заинтересованность члена совета директоров (наблюдательного совета)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микрофинансовой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 организации, единоличного исполнительного органа, члена коллегиального исполнительного органа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микрофинансовой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 организации или лица, являющегося контролирующим лицом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микрофинансовой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 организации, либо лица, имеющего право давать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микрофинансовой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 организации обязательные для ее указания. Указанные лица признаются заинтересованными в совершении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микрофинансовой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 организацией сделки в случаях, если они, их супруги, родители, дети, полнородные и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неполнородные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 братья и сестры, усыновители и усыновленные и (или) подконтрольные им лица (подконтрольные организации):</w:t>
      </w:r>
    </w:p>
    <w:p w:rsidR="00D403A8" w:rsidRPr="00D403A8" w:rsidRDefault="00D403A8" w:rsidP="00D40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232323"/>
          <w:sz w:val="24"/>
          <w:szCs w:val="24"/>
          <w:lang w:eastAsia="ru-RU"/>
        </w:rPr>
      </w:pPr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являются стороной,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выгодоприобретателем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, посредником или представителем в сделке;</w:t>
      </w:r>
    </w:p>
    <w:p w:rsidR="00D403A8" w:rsidRPr="00D403A8" w:rsidRDefault="00D403A8" w:rsidP="00D40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232323"/>
          <w:sz w:val="24"/>
          <w:szCs w:val="24"/>
          <w:lang w:eastAsia="ru-RU"/>
        </w:rPr>
      </w:pPr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lastRenderedPageBreak/>
        <w:t xml:space="preserve">являются контролирующим лицом юридического лица, являющегося стороной,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выгодоприобретателем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, посредником или представителем в сделке;</w:t>
      </w:r>
    </w:p>
    <w:p w:rsidR="00D403A8" w:rsidRPr="00D403A8" w:rsidRDefault="00D403A8" w:rsidP="00D403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232323"/>
          <w:sz w:val="28"/>
          <w:szCs w:val="28"/>
          <w:lang w:eastAsia="ru-RU"/>
        </w:rPr>
      </w:pPr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 xml:space="preserve">занимают должности в органах управления юридического лица, являющегося стороной, </w:t>
      </w:r>
      <w:proofErr w:type="spellStart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выгодоприобретателем</w:t>
      </w:r>
      <w:proofErr w:type="spellEnd"/>
      <w:r w:rsidRPr="00D403A8">
        <w:rPr>
          <w:rFonts w:ascii="Roboto" w:eastAsia="Times New Roman" w:hAnsi="Roboto" w:cs="Arial"/>
          <w:color w:val="232323"/>
          <w:sz w:val="24"/>
          <w:szCs w:val="24"/>
          <w:lang w:eastAsia="ru-RU"/>
        </w:rPr>
        <w:t>, посредником или представителем в сделке, а также должности в органах управления управляющей организации такого юридического лица.</w:t>
      </w:r>
    </w:p>
    <w:p w:rsidR="004F535B" w:rsidRPr="00D403A8" w:rsidRDefault="004F535B">
      <w:pPr>
        <w:rPr>
          <w:rFonts w:ascii="Roboto" w:hAnsi="Roboto"/>
          <w:sz w:val="28"/>
          <w:szCs w:val="28"/>
        </w:rPr>
      </w:pPr>
    </w:p>
    <w:sectPr w:rsidR="004F535B" w:rsidRPr="00D403A8" w:rsidSect="004F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73D6"/>
    <w:multiLevelType w:val="multilevel"/>
    <w:tmpl w:val="2D66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903F1"/>
    <w:multiLevelType w:val="multilevel"/>
    <w:tmpl w:val="7E54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03A8"/>
    <w:rsid w:val="004F535B"/>
    <w:rsid w:val="00D4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titte">
    <w:name w:val="sect_titte"/>
    <w:basedOn w:val="a"/>
    <w:rsid w:val="00D4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2355</Characters>
  <Application>Microsoft Office Word</Application>
  <DocSecurity>0</DocSecurity>
  <Lines>19</Lines>
  <Paragraphs>5</Paragraphs>
  <ScaleCrop>false</ScaleCrop>
  <Company>Hewlett-Packard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Ковалев</dc:creator>
  <cp:keywords/>
  <dc:description/>
  <cp:lastModifiedBy>Игорь Ковалев</cp:lastModifiedBy>
  <cp:revision>2</cp:revision>
  <dcterms:created xsi:type="dcterms:W3CDTF">2020-07-29T08:36:00Z</dcterms:created>
  <dcterms:modified xsi:type="dcterms:W3CDTF">2020-07-29T08:39:00Z</dcterms:modified>
</cp:coreProperties>
</file>